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615395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="00912E0F">
        <w:rPr>
          <w:rFonts w:ascii="Century Gothic" w:hAnsi="Century Gothic"/>
          <w:b/>
          <w:sz w:val="24"/>
          <w:szCs w:val="24"/>
        </w:rPr>
        <w:t>Tercera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12E0F">
        <w:rPr>
          <w:rFonts w:ascii="Century Gothic" w:hAnsi="Century Gothic"/>
          <w:b/>
          <w:sz w:val="24"/>
          <w:szCs w:val="24"/>
        </w:rPr>
        <w:t>treinta y uno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12E0F" w:rsidRPr="0052553A" w:rsidRDefault="00912E0F" w:rsidP="00912E0F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12E0F" w:rsidRDefault="00912E0F" w:rsidP="00912E0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12E0F" w:rsidRPr="0052553A" w:rsidRDefault="00912E0F" w:rsidP="00912E0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374/2020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Sexto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252/2019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912E0F" w:rsidP="00912E0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</w:t>
      </w:r>
      <w:r w:rsidRPr="00912E0F">
        <w:rPr>
          <w:rFonts w:ascii="Century Gothic" w:hAnsi="Century Gothic"/>
          <w:sz w:val="24"/>
          <w:szCs w:val="24"/>
        </w:rPr>
        <w:t>de Apelación 465/2019 en cumplimiento al Juicio de Amparo 465/2019 del Sexto</w:t>
      </w:r>
      <w:r>
        <w:rPr>
          <w:rFonts w:ascii="Century Gothic" w:hAnsi="Century Gothic"/>
          <w:sz w:val="24"/>
          <w:szCs w:val="24"/>
        </w:rPr>
        <w:t xml:space="preserve">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12E0F">
        <w:rPr>
          <w:rFonts w:ascii="Century Gothic" w:hAnsi="Century Gothic"/>
          <w:b/>
          <w:sz w:val="24"/>
          <w:szCs w:val="24"/>
        </w:rPr>
        <w:t>TREINTA</w:t>
      </w:r>
      <w:bookmarkStart w:id="0" w:name="_GoBack"/>
      <w:bookmarkEnd w:id="0"/>
      <w:r w:rsidR="00176ABC">
        <w:rPr>
          <w:rFonts w:ascii="Century Gothic" w:hAnsi="Century Gothic"/>
          <w:b/>
          <w:sz w:val="24"/>
          <w:szCs w:val="24"/>
        </w:rPr>
        <w:t xml:space="preserve">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615395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6E54-45CF-4DD3-88C4-9FDAF3BC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2020-02-04T17:46:00Z</dcterms:created>
  <dcterms:modified xsi:type="dcterms:W3CDTF">2020-02-04T17:46:00Z</dcterms:modified>
</cp:coreProperties>
</file>